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268" w:rsidRDefault="00023268" w:rsidP="00023268">
      <w:pPr>
        <w:pStyle w:val="Nzov"/>
      </w:pPr>
      <w:r>
        <w:t>Predkladacia správa</w:t>
      </w:r>
    </w:p>
    <w:p w:rsidR="00023268" w:rsidRDefault="00023268" w:rsidP="00023268">
      <w:pPr>
        <w:pStyle w:val="Nzov"/>
      </w:pPr>
    </w:p>
    <w:p w:rsidR="00023268" w:rsidRDefault="00023268" w:rsidP="00023268">
      <w:pPr>
        <w:pStyle w:val="Nzov"/>
      </w:pPr>
    </w:p>
    <w:p w:rsidR="00023268" w:rsidRDefault="00023268" w:rsidP="00023268">
      <w:pPr>
        <w:jc w:val="both"/>
        <w:rPr>
          <w:sz w:val="24"/>
          <w:szCs w:val="24"/>
        </w:rPr>
      </w:pPr>
      <w:r w:rsidRPr="00EB4C15">
        <w:rPr>
          <w:sz w:val="24"/>
          <w:szCs w:val="24"/>
        </w:rPr>
        <w:t xml:space="preserve">Národný bezpečnostný úrad </w:t>
      </w:r>
      <w:r w:rsidR="00FB7A72">
        <w:rPr>
          <w:sz w:val="24"/>
          <w:szCs w:val="24"/>
        </w:rPr>
        <w:t xml:space="preserve">(ďalej len „úrad“) </w:t>
      </w:r>
      <w:r w:rsidRPr="00EB4C15">
        <w:rPr>
          <w:sz w:val="24"/>
          <w:szCs w:val="24"/>
        </w:rPr>
        <w:t>predkladá</w:t>
      </w:r>
      <w:r w:rsidR="003652FA">
        <w:rPr>
          <w:sz w:val="24"/>
          <w:szCs w:val="24"/>
        </w:rPr>
        <w:t xml:space="preserve"> </w:t>
      </w:r>
      <w:r w:rsidR="00562630">
        <w:rPr>
          <w:sz w:val="24"/>
          <w:szCs w:val="24"/>
        </w:rPr>
        <w:t>n</w:t>
      </w:r>
      <w:r w:rsidR="00562630">
        <w:rPr>
          <w:rFonts w:eastAsia="Times New Roman"/>
          <w:sz w:val="24"/>
          <w:szCs w:val="24"/>
        </w:rPr>
        <w:t>ávrh zákona o kybernetickej bezpečnosti produktov s</w:t>
      </w:r>
      <w:r w:rsidR="00600839">
        <w:rPr>
          <w:rFonts w:eastAsia="Times New Roman"/>
          <w:sz w:val="24"/>
          <w:szCs w:val="24"/>
        </w:rPr>
        <w:t> </w:t>
      </w:r>
      <w:r w:rsidR="00562630">
        <w:rPr>
          <w:rFonts w:eastAsia="Times New Roman"/>
          <w:sz w:val="24"/>
          <w:szCs w:val="24"/>
        </w:rPr>
        <w:t xml:space="preserve">digitálnymi prvkami </w:t>
      </w:r>
      <w:r w:rsidR="00562630">
        <w:rPr>
          <w:rFonts w:eastAsia="Times New Roman"/>
        </w:rPr>
        <w:t xml:space="preserve"> </w:t>
      </w:r>
      <w:r w:rsidR="00562630">
        <w:rPr>
          <w:rFonts w:eastAsia="Times New Roman"/>
          <w:sz w:val="24"/>
          <w:szCs w:val="24"/>
        </w:rPr>
        <w:t xml:space="preserve">a o zmene a doplnení niektorých zákonov </w:t>
      </w:r>
      <w:r w:rsidR="000A0FFD">
        <w:rPr>
          <w:rFonts w:eastAsia="Times New Roman"/>
          <w:sz w:val="24"/>
          <w:szCs w:val="24"/>
        </w:rPr>
        <w:t xml:space="preserve">(zákon o kybernetickej odolnosti) </w:t>
      </w:r>
      <w:r w:rsidR="00562630">
        <w:rPr>
          <w:rFonts w:eastAsia="Times New Roman"/>
          <w:sz w:val="24"/>
          <w:szCs w:val="24"/>
        </w:rPr>
        <w:t>(ďalej len „návrh zákona“)</w:t>
      </w:r>
      <w:r w:rsidR="00562630">
        <w:rPr>
          <w:sz w:val="24"/>
          <w:szCs w:val="24"/>
        </w:rPr>
        <w:t xml:space="preserve"> na základe Plánu legislatívnych úloh vlády </w:t>
      </w:r>
      <w:r w:rsidR="00E105C2">
        <w:rPr>
          <w:sz w:val="24"/>
          <w:szCs w:val="24"/>
        </w:rPr>
        <w:t>Slovenskej republiky na rok 2025</w:t>
      </w:r>
      <w:r w:rsidR="00562630">
        <w:rPr>
          <w:sz w:val="24"/>
          <w:szCs w:val="24"/>
        </w:rPr>
        <w:t>.</w:t>
      </w:r>
    </w:p>
    <w:p w:rsidR="00424AAE" w:rsidRDefault="00424AAE" w:rsidP="00424AAE">
      <w:pPr>
        <w:jc w:val="both"/>
        <w:rPr>
          <w:sz w:val="24"/>
          <w:szCs w:val="24"/>
          <w:highlight w:val="green"/>
        </w:rPr>
      </w:pPr>
    </w:p>
    <w:p w:rsidR="00424AAE" w:rsidRDefault="00424AAE" w:rsidP="00424AAE">
      <w:pPr>
        <w:jc w:val="both"/>
        <w:rPr>
          <w:sz w:val="24"/>
          <w:szCs w:val="24"/>
        </w:rPr>
      </w:pPr>
      <w:r w:rsidRPr="00FD79B5">
        <w:rPr>
          <w:sz w:val="24"/>
          <w:szCs w:val="24"/>
        </w:rPr>
        <w:t>Ú</w:t>
      </w:r>
      <w:r w:rsidR="00023268" w:rsidRPr="00FD79B5">
        <w:rPr>
          <w:sz w:val="24"/>
          <w:szCs w:val="24"/>
        </w:rPr>
        <w:t>čelom návrhu zákona</w:t>
      </w:r>
      <w:r w:rsidR="00023268">
        <w:rPr>
          <w:sz w:val="24"/>
          <w:szCs w:val="24"/>
        </w:rPr>
        <w:t xml:space="preserve"> je </w:t>
      </w:r>
      <w:r>
        <w:rPr>
          <w:sz w:val="24"/>
          <w:szCs w:val="24"/>
        </w:rPr>
        <w:t>implementácia n</w:t>
      </w:r>
      <w:r w:rsidRPr="007F1B9C">
        <w:rPr>
          <w:sz w:val="24"/>
          <w:szCs w:val="24"/>
        </w:rPr>
        <w:t>ariadeni</w:t>
      </w:r>
      <w:r>
        <w:rPr>
          <w:sz w:val="24"/>
          <w:szCs w:val="24"/>
        </w:rPr>
        <w:t>a</w:t>
      </w:r>
      <w:r w:rsidRPr="007F1B9C">
        <w:rPr>
          <w:sz w:val="24"/>
          <w:szCs w:val="24"/>
        </w:rPr>
        <w:t xml:space="preserve"> </w:t>
      </w:r>
      <w:r w:rsidRPr="007A1A12">
        <w:rPr>
          <w:color w:val="000000"/>
          <w:sz w:val="24"/>
          <w:szCs w:val="24"/>
        </w:rPr>
        <w:t>Európskeho parlamentu a Rady (EÚ) 2024/2847 z 23. októbra 2024 o</w:t>
      </w:r>
      <w:r>
        <w:rPr>
          <w:color w:val="000000"/>
          <w:sz w:val="24"/>
          <w:szCs w:val="24"/>
        </w:rPr>
        <w:t> </w:t>
      </w:r>
      <w:r w:rsidRPr="007A1A12">
        <w:rPr>
          <w:color w:val="000000"/>
          <w:sz w:val="24"/>
          <w:szCs w:val="24"/>
        </w:rPr>
        <w:t>horizontálnych požiadavkách kybernetickej bezpečnosti pre</w:t>
      </w:r>
      <w:r w:rsidR="00600839">
        <w:rPr>
          <w:color w:val="000000"/>
          <w:sz w:val="24"/>
          <w:szCs w:val="24"/>
        </w:rPr>
        <w:t> </w:t>
      </w:r>
      <w:r w:rsidRPr="007A1A12">
        <w:rPr>
          <w:color w:val="000000"/>
          <w:sz w:val="24"/>
          <w:szCs w:val="24"/>
        </w:rPr>
        <w:t>produkty s digitálnymi prvkami a o zmene nariadení (EÚ) č. 168/2013 a (EÚ) 2019/1020 a smernice (EÚ) 2020/1828 (akt o kybernetickej odolnosti) (Ú. v. EÚ L, 2024/2847, 20.11.2024) v platnom znení (ďalej len „nariadenie (EÚ) 2024/2847“)</w:t>
      </w:r>
      <w:r w:rsidR="00600839">
        <w:rPr>
          <w:color w:val="000000"/>
          <w:sz w:val="24"/>
          <w:szCs w:val="24"/>
        </w:rPr>
        <w:t>, ktoré</w:t>
      </w:r>
      <w:r>
        <w:rPr>
          <w:color w:val="000000"/>
          <w:sz w:val="24"/>
          <w:szCs w:val="24"/>
        </w:rPr>
        <w:t xml:space="preserve"> </w:t>
      </w:r>
      <w:r w:rsidRPr="007F1B9C">
        <w:rPr>
          <w:sz w:val="24"/>
          <w:szCs w:val="24"/>
        </w:rPr>
        <w:t>je novou reguláciou Európskej únie v oblasti horizontálnych požiadaviek kybernetickej bezpečnosti pre</w:t>
      </w:r>
      <w:r w:rsidR="00600839">
        <w:rPr>
          <w:sz w:val="24"/>
          <w:szCs w:val="24"/>
        </w:rPr>
        <w:t> </w:t>
      </w:r>
      <w:r w:rsidRPr="007F1B9C">
        <w:rPr>
          <w:sz w:val="24"/>
          <w:szCs w:val="24"/>
        </w:rPr>
        <w:t xml:space="preserve">produkty s digitálnymi prvkami, ktorá </w:t>
      </w:r>
      <w:r w:rsidRPr="00AD4A6C">
        <w:rPr>
          <w:sz w:val="24"/>
          <w:szCs w:val="24"/>
        </w:rPr>
        <w:t>sa vzťahuje na všetky produkty s digitálnymi prvkami priamo alebo nepriamo pripojenými k inému zariadeniu alebo sieti okrem osobitných výnimiek, ako sú niektoré výrobky s otvoreným zdrojovým kódom alebo produkty služieb, na</w:t>
      </w:r>
      <w:r w:rsidR="00600839">
        <w:rPr>
          <w:sz w:val="24"/>
          <w:szCs w:val="24"/>
        </w:rPr>
        <w:t> </w:t>
      </w:r>
      <w:r w:rsidRPr="00AD4A6C">
        <w:rPr>
          <w:sz w:val="24"/>
          <w:szCs w:val="24"/>
        </w:rPr>
        <w:t>ktoré sa už v súčasnosti vzťahujú existujúce pravidlá alebo regulácia, ako napríklad oblasť zdravotníckych pomôcok, letectva alebo</w:t>
      </w:r>
      <w:r>
        <w:rPr>
          <w:sz w:val="24"/>
          <w:szCs w:val="24"/>
        </w:rPr>
        <w:t> </w:t>
      </w:r>
      <w:r w:rsidRPr="00AD4A6C">
        <w:rPr>
          <w:sz w:val="24"/>
          <w:szCs w:val="24"/>
        </w:rPr>
        <w:t>automobilov a iné.</w:t>
      </w:r>
    </w:p>
    <w:p w:rsidR="00023268" w:rsidRDefault="00023268" w:rsidP="00023268">
      <w:pPr>
        <w:jc w:val="both"/>
        <w:rPr>
          <w:sz w:val="24"/>
          <w:szCs w:val="24"/>
        </w:rPr>
      </w:pPr>
    </w:p>
    <w:p w:rsidR="00023268" w:rsidRDefault="00023268" w:rsidP="00023268">
      <w:pPr>
        <w:jc w:val="both"/>
        <w:rPr>
          <w:sz w:val="24"/>
          <w:szCs w:val="24"/>
        </w:rPr>
      </w:pPr>
      <w:r w:rsidRPr="00D722F2">
        <w:rPr>
          <w:sz w:val="24"/>
          <w:szCs w:val="24"/>
        </w:rPr>
        <w:t xml:space="preserve">Návrh zákona </w:t>
      </w:r>
      <w:r w:rsidR="00BA5467">
        <w:rPr>
          <w:sz w:val="24"/>
          <w:szCs w:val="24"/>
        </w:rPr>
        <w:t>ustanovuj</w:t>
      </w:r>
      <w:r w:rsidR="00D513CA">
        <w:rPr>
          <w:sz w:val="24"/>
          <w:szCs w:val="24"/>
        </w:rPr>
        <w:t>e</w:t>
      </w:r>
      <w:r w:rsidR="00BA5467">
        <w:rPr>
          <w:sz w:val="24"/>
          <w:szCs w:val="24"/>
        </w:rPr>
        <w:t xml:space="preserve"> </w:t>
      </w:r>
      <w:r w:rsidR="00393F4B">
        <w:rPr>
          <w:sz w:val="24"/>
          <w:szCs w:val="24"/>
        </w:rPr>
        <w:t xml:space="preserve">kompetencie, </w:t>
      </w:r>
      <w:r w:rsidR="00BA5467">
        <w:rPr>
          <w:sz w:val="24"/>
          <w:szCs w:val="24"/>
        </w:rPr>
        <w:t xml:space="preserve">práva a povinnosti úradu ako orgánu dohľadu </w:t>
      </w:r>
      <w:r w:rsidR="00A75659">
        <w:rPr>
          <w:sz w:val="24"/>
          <w:szCs w:val="24"/>
        </w:rPr>
        <w:t xml:space="preserve">nad trhom </w:t>
      </w:r>
      <w:r w:rsidR="00BA5467">
        <w:rPr>
          <w:sz w:val="24"/>
          <w:szCs w:val="24"/>
        </w:rPr>
        <w:t>pre produkt s digitálnymi prvkami</w:t>
      </w:r>
      <w:r w:rsidR="00A75659">
        <w:rPr>
          <w:sz w:val="24"/>
          <w:szCs w:val="24"/>
        </w:rPr>
        <w:t xml:space="preserve"> (ďalej len „dohľad nad trhom</w:t>
      </w:r>
      <w:r w:rsidR="00C95AB3">
        <w:rPr>
          <w:sz w:val="24"/>
          <w:szCs w:val="24"/>
        </w:rPr>
        <w:t>“</w:t>
      </w:r>
      <w:r w:rsidR="00A75659">
        <w:rPr>
          <w:sz w:val="24"/>
          <w:szCs w:val="24"/>
        </w:rPr>
        <w:t>)</w:t>
      </w:r>
      <w:r w:rsidR="00BA5467">
        <w:rPr>
          <w:sz w:val="24"/>
          <w:szCs w:val="24"/>
        </w:rPr>
        <w:t>.</w:t>
      </w:r>
      <w:r w:rsidR="00745529">
        <w:rPr>
          <w:sz w:val="24"/>
          <w:szCs w:val="24"/>
        </w:rPr>
        <w:t xml:space="preserve"> Implementáciou nariadenia (EÚ) 2024/2847 sa </w:t>
      </w:r>
      <w:r w:rsidR="009B771F">
        <w:rPr>
          <w:sz w:val="24"/>
          <w:szCs w:val="24"/>
        </w:rPr>
        <w:t xml:space="preserve">najmä spresňuje </w:t>
      </w:r>
      <w:r w:rsidR="00C95AB3">
        <w:rPr>
          <w:sz w:val="24"/>
          <w:szCs w:val="24"/>
        </w:rPr>
        <w:t xml:space="preserve">samotný </w:t>
      </w:r>
      <w:r w:rsidR="009B771F">
        <w:rPr>
          <w:sz w:val="24"/>
          <w:szCs w:val="24"/>
        </w:rPr>
        <w:t>výkon dohľadu</w:t>
      </w:r>
      <w:r w:rsidR="000E4758">
        <w:rPr>
          <w:sz w:val="24"/>
          <w:szCs w:val="24"/>
        </w:rPr>
        <w:t xml:space="preserve"> nad trhom a</w:t>
      </w:r>
      <w:r w:rsidR="0082485F">
        <w:rPr>
          <w:sz w:val="24"/>
          <w:szCs w:val="24"/>
        </w:rPr>
        <w:t> </w:t>
      </w:r>
      <w:r w:rsidR="000E4758">
        <w:rPr>
          <w:sz w:val="24"/>
          <w:szCs w:val="24"/>
        </w:rPr>
        <w:t>s</w:t>
      </w:r>
      <w:r w:rsidR="0082485F">
        <w:rPr>
          <w:sz w:val="24"/>
          <w:szCs w:val="24"/>
        </w:rPr>
        <w:t xml:space="preserve"> </w:t>
      </w:r>
      <w:r w:rsidR="000E4758">
        <w:rPr>
          <w:sz w:val="24"/>
          <w:szCs w:val="24"/>
        </w:rPr>
        <w:t>ním súvisiace práva a povinnosti úradu ako orgánu dohľadu nad trhom</w:t>
      </w:r>
      <w:r w:rsidR="00E75CBA">
        <w:rPr>
          <w:sz w:val="24"/>
          <w:szCs w:val="24"/>
        </w:rPr>
        <w:t xml:space="preserve"> a hospodárskych subjektov</w:t>
      </w:r>
      <w:r w:rsidR="00CF3D1D">
        <w:rPr>
          <w:sz w:val="24"/>
          <w:szCs w:val="24"/>
        </w:rPr>
        <w:t xml:space="preserve"> (výrobca, splnomocnený zástupca, dovozca a distribútor)</w:t>
      </w:r>
      <w:r w:rsidR="00E75CBA">
        <w:rPr>
          <w:sz w:val="24"/>
          <w:szCs w:val="24"/>
        </w:rPr>
        <w:t xml:space="preserve"> ako subjektov dohľadu nad trhom. </w:t>
      </w:r>
      <w:r w:rsidR="00C95AB3">
        <w:rPr>
          <w:sz w:val="24"/>
          <w:szCs w:val="24"/>
        </w:rPr>
        <w:t xml:space="preserve">Úrad bude v rámci výkonu dohľadu nad trhom </w:t>
      </w:r>
      <w:r w:rsidR="00E44C63">
        <w:rPr>
          <w:sz w:val="24"/>
          <w:szCs w:val="24"/>
        </w:rPr>
        <w:t>uprednostňovať výkon dohľadu nad trhom na diaľku</w:t>
      </w:r>
      <w:r w:rsidR="00A710F1">
        <w:rPr>
          <w:sz w:val="24"/>
          <w:szCs w:val="24"/>
        </w:rPr>
        <w:t xml:space="preserve"> (monitorovanie dodržiavania povinností hospodárskych subjektov</w:t>
      </w:r>
      <w:r w:rsidR="00770150">
        <w:rPr>
          <w:sz w:val="24"/>
          <w:szCs w:val="24"/>
        </w:rPr>
        <w:t xml:space="preserve"> v online prostredí</w:t>
      </w:r>
      <w:r w:rsidR="00A710F1">
        <w:rPr>
          <w:sz w:val="24"/>
          <w:szCs w:val="24"/>
        </w:rPr>
        <w:t>)</w:t>
      </w:r>
      <w:r w:rsidR="00E44C63">
        <w:rPr>
          <w:sz w:val="24"/>
          <w:szCs w:val="24"/>
        </w:rPr>
        <w:t>,</w:t>
      </w:r>
      <w:r w:rsidR="00770150">
        <w:rPr>
          <w:sz w:val="24"/>
          <w:szCs w:val="24"/>
        </w:rPr>
        <w:t xml:space="preserve"> ale</w:t>
      </w:r>
      <w:r w:rsidR="00E44C63">
        <w:rPr>
          <w:sz w:val="24"/>
          <w:szCs w:val="24"/>
        </w:rPr>
        <w:t xml:space="preserve"> na základe podnetov alebo na základe vlastných zistení môže </w:t>
      </w:r>
      <w:r w:rsidR="005C354B">
        <w:rPr>
          <w:sz w:val="24"/>
          <w:szCs w:val="24"/>
        </w:rPr>
        <w:t>pristúpiť k výkonu</w:t>
      </w:r>
      <w:r w:rsidR="00E44C63">
        <w:rPr>
          <w:sz w:val="24"/>
          <w:szCs w:val="24"/>
        </w:rPr>
        <w:t xml:space="preserve"> dohľad nad trhom aj na mieste</w:t>
      </w:r>
      <w:r w:rsidR="00770150">
        <w:rPr>
          <w:sz w:val="24"/>
          <w:szCs w:val="24"/>
        </w:rPr>
        <w:t xml:space="preserve"> priamo u hospodárskeho subjektu</w:t>
      </w:r>
      <w:r w:rsidR="00E44C63">
        <w:rPr>
          <w:sz w:val="24"/>
          <w:szCs w:val="24"/>
        </w:rPr>
        <w:t>.</w:t>
      </w:r>
      <w:r w:rsidR="00C95AB3">
        <w:rPr>
          <w:sz w:val="24"/>
          <w:szCs w:val="24"/>
        </w:rPr>
        <w:t xml:space="preserve"> </w:t>
      </w:r>
      <w:r w:rsidR="00E75CBA">
        <w:rPr>
          <w:sz w:val="24"/>
          <w:szCs w:val="24"/>
        </w:rPr>
        <w:t>Základné práva a</w:t>
      </w:r>
      <w:r w:rsidR="009517B9">
        <w:rPr>
          <w:sz w:val="24"/>
          <w:szCs w:val="24"/>
        </w:rPr>
        <w:t> </w:t>
      </w:r>
      <w:r w:rsidR="00E75CBA">
        <w:rPr>
          <w:sz w:val="24"/>
          <w:szCs w:val="24"/>
        </w:rPr>
        <w:t>povinnosti</w:t>
      </w:r>
      <w:r w:rsidR="009517B9">
        <w:rPr>
          <w:sz w:val="24"/>
          <w:szCs w:val="24"/>
        </w:rPr>
        <w:t xml:space="preserve"> </w:t>
      </w:r>
      <w:r w:rsidR="00770150">
        <w:rPr>
          <w:sz w:val="24"/>
          <w:szCs w:val="24"/>
        </w:rPr>
        <w:t>orgánu</w:t>
      </w:r>
      <w:r w:rsidR="00203D8B">
        <w:rPr>
          <w:sz w:val="24"/>
          <w:szCs w:val="24"/>
        </w:rPr>
        <w:t xml:space="preserve"> dohľadu nad trhom a hospodárskych subjektov </w:t>
      </w:r>
      <w:r w:rsidR="009517B9">
        <w:rPr>
          <w:sz w:val="24"/>
          <w:szCs w:val="24"/>
        </w:rPr>
        <w:t xml:space="preserve">sú upravené v nariadení (EÚ) 2024/2847 </w:t>
      </w:r>
      <w:r w:rsidR="00407C27">
        <w:rPr>
          <w:sz w:val="24"/>
          <w:szCs w:val="24"/>
        </w:rPr>
        <w:t>a </w:t>
      </w:r>
      <w:r w:rsidR="009517B9">
        <w:rPr>
          <w:sz w:val="24"/>
          <w:szCs w:val="24"/>
        </w:rPr>
        <w:t xml:space="preserve">v nariadení </w:t>
      </w:r>
      <w:r w:rsidR="009517B9" w:rsidRPr="000B206A">
        <w:rPr>
          <w:sz w:val="24"/>
          <w:szCs w:val="24"/>
        </w:rPr>
        <w:t>Európskeho parlamentu a Rady (EÚ) 2019/1020 z 20. júna 2019 o dohľad</w:t>
      </w:r>
      <w:r w:rsidR="00A02C99">
        <w:rPr>
          <w:sz w:val="24"/>
          <w:szCs w:val="24"/>
        </w:rPr>
        <w:t>e nad trhom a súlade výrobkov a </w:t>
      </w:r>
      <w:r w:rsidR="009517B9" w:rsidRPr="000B206A">
        <w:rPr>
          <w:sz w:val="24"/>
          <w:szCs w:val="24"/>
        </w:rPr>
        <w:t>o zmene smernice 2004/42/ES a nariadení (ES) č. 765/2008 a (EÚ) č. 305/2011 (Ú.</w:t>
      </w:r>
      <w:r w:rsidR="00203D8B">
        <w:rPr>
          <w:sz w:val="24"/>
          <w:szCs w:val="24"/>
        </w:rPr>
        <w:t> </w:t>
      </w:r>
      <w:r w:rsidR="009517B9" w:rsidRPr="000B206A">
        <w:rPr>
          <w:sz w:val="24"/>
          <w:szCs w:val="24"/>
        </w:rPr>
        <w:t>v. EÚ L 169, 25.6.2019) v</w:t>
      </w:r>
      <w:r w:rsidR="00FB7A72">
        <w:rPr>
          <w:sz w:val="24"/>
          <w:szCs w:val="24"/>
        </w:rPr>
        <w:t> </w:t>
      </w:r>
      <w:r w:rsidR="009517B9" w:rsidRPr="000B206A">
        <w:rPr>
          <w:sz w:val="24"/>
          <w:szCs w:val="24"/>
        </w:rPr>
        <w:t>platnom znení</w:t>
      </w:r>
      <w:r w:rsidR="009517B9">
        <w:rPr>
          <w:sz w:val="24"/>
          <w:szCs w:val="24"/>
        </w:rPr>
        <w:t xml:space="preserve"> (ďalej len „nariadenie (EÚ) 2019/1020“)</w:t>
      </w:r>
      <w:r w:rsidR="00203D8B">
        <w:rPr>
          <w:sz w:val="24"/>
          <w:szCs w:val="24"/>
        </w:rPr>
        <w:t>.</w:t>
      </w:r>
      <w:r w:rsidR="009517B9">
        <w:rPr>
          <w:sz w:val="24"/>
          <w:szCs w:val="24"/>
        </w:rPr>
        <w:t xml:space="preserve"> </w:t>
      </w:r>
      <w:r w:rsidR="0082485F">
        <w:rPr>
          <w:sz w:val="24"/>
          <w:szCs w:val="24"/>
        </w:rPr>
        <w:t xml:space="preserve">Samotný výkon dohľadu nad trhom bude </w:t>
      </w:r>
      <w:r w:rsidR="00FB7A72">
        <w:rPr>
          <w:sz w:val="24"/>
          <w:szCs w:val="24"/>
        </w:rPr>
        <w:t>zabezpečovaný</w:t>
      </w:r>
      <w:r w:rsidR="0082485F">
        <w:rPr>
          <w:sz w:val="24"/>
          <w:szCs w:val="24"/>
        </w:rPr>
        <w:t xml:space="preserve"> príslušníkmi </w:t>
      </w:r>
      <w:r w:rsidR="002F7B85">
        <w:rPr>
          <w:sz w:val="24"/>
          <w:szCs w:val="24"/>
        </w:rPr>
        <w:t>úradu a</w:t>
      </w:r>
      <w:r w:rsidR="0082485F">
        <w:rPr>
          <w:sz w:val="24"/>
          <w:szCs w:val="24"/>
        </w:rPr>
        <w:t> zamestnancami úradu</w:t>
      </w:r>
      <w:r w:rsidR="00BB0DBB">
        <w:rPr>
          <w:sz w:val="24"/>
          <w:szCs w:val="24"/>
        </w:rPr>
        <w:t xml:space="preserve">. </w:t>
      </w:r>
      <w:r w:rsidR="00EA2601">
        <w:rPr>
          <w:sz w:val="24"/>
          <w:szCs w:val="24"/>
        </w:rPr>
        <w:t xml:space="preserve">Za nedodržanie povinností vyplývajúcich hospodárskym subjektom z nariadenia (EÚ) 2024/2847 a z tohto návrhu zákona </w:t>
      </w:r>
      <w:r w:rsidR="00A5129F">
        <w:rPr>
          <w:sz w:val="24"/>
          <w:szCs w:val="24"/>
        </w:rPr>
        <w:t xml:space="preserve">bude úrad ukladať sankcie v podobe ukladania pokút </w:t>
      </w:r>
      <w:r w:rsidR="009C7B4A">
        <w:rPr>
          <w:sz w:val="24"/>
          <w:szCs w:val="24"/>
        </w:rPr>
        <w:t xml:space="preserve">vyplývajúcich z nariadenia (EÚ) 2024/2847 </w:t>
      </w:r>
      <w:r w:rsidR="00A5129F">
        <w:rPr>
          <w:sz w:val="24"/>
          <w:szCs w:val="24"/>
        </w:rPr>
        <w:t>a ukladania opatrení</w:t>
      </w:r>
      <w:r w:rsidR="004626A2">
        <w:rPr>
          <w:sz w:val="24"/>
          <w:szCs w:val="24"/>
        </w:rPr>
        <w:t xml:space="preserve"> vyplývajúcich z nariadenia (EÚ) 2019/1020</w:t>
      </w:r>
      <w:r w:rsidR="00F06431">
        <w:rPr>
          <w:sz w:val="24"/>
          <w:szCs w:val="24"/>
        </w:rPr>
        <w:t>.</w:t>
      </w:r>
    </w:p>
    <w:p w:rsidR="002F0992" w:rsidRDefault="002F0992"/>
    <w:p w:rsidR="00BC777F" w:rsidRDefault="00BC777F" w:rsidP="00C95CF4">
      <w:pPr>
        <w:pStyle w:val="Zkladntext"/>
      </w:pPr>
      <w:r w:rsidRPr="00BC777F">
        <w:t>Návrh zákona sa ne</w:t>
      </w:r>
      <w:r w:rsidR="00782A2A">
        <w:t>týka pôsobnosti miestnej</w:t>
      </w:r>
      <w:r w:rsidRPr="00BC777F">
        <w:t xml:space="preserve"> samosprávy</w:t>
      </w:r>
      <w:r w:rsidR="00587814">
        <w:t>, preto sa nevykazuje súlad návrhu zákona s Európskou chartou miestnej samosprávy.</w:t>
      </w:r>
    </w:p>
    <w:p w:rsidR="00DF017F" w:rsidRDefault="006B45F6" w:rsidP="00DF017F">
      <w:pPr>
        <w:pStyle w:val="Normlnywebov"/>
        <w:jc w:val="both"/>
      </w:pPr>
      <w:r>
        <w:t xml:space="preserve">Návrh zákona bol predmetom </w:t>
      </w:r>
      <w:r w:rsidR="00771DA8">
        <w:t>pripomienkové</w:t>
      </w:r>
      <w:r>
        <w:t>ho konania</w:t>
      </w:r>
      <w:r w:rsidR="00241DDF">
        <w:t>.</w:t>
      </w:r>
      <w:bookmarkStart w:id="0" w:name="_GoBack"/>
      <w:bookmarkEnd w:id="0"/>
    </w:p>
    <w:p w:rsidR="00DF017F" w:rsidRPr="00BC777F" w:rsidRDefault="00DF017F">
      <w:pPr>
        <w:rPr>
          <w:sz w:val="24"/>
          <w:szCs w:val="24"/>
        </w:rPr>
      </w:pPr>
    </w:p>
    <w:sectPr w:rsidR="00DF017F" w:rsidRPr="00BC777F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C63"/>
    <w:rsid w:val="00023268"/>
    <w:rsid w:val="0007050C"/>
    <w:rsid w:val="000A0FFD"/>
    <w:rsid w:val="000E4758"/>
    <w:rsid w:val="0012583C"/>
    <w:rsid w:val="00145578"/>
    <w:rsid w:val="001C274E"/>
    <w:rsid w:val="001C61B0"/>
    <w:rsid w:val="00203D8B"/>
    <w:rsid w:val="00241DDF"/>
    <w:rsid w:val="002D2C1A"/>
    <w:rsid w:val="002F0992"/>
    <w:rsid w:val="002F7B85"/>
    <w:rsid w:val="003652FA"/>
    <w:rsid w:val="00393F4B"/>
    <w:rsid w:val="00407C27"/>
    <w:rsid w:val="00424335"/>
    <w:rsid w:val="00424AAE"/>
    <w:rsid w:val="004626A2"/>
    <w:rsid w:val="004C5B9D"/>
    <w:rsid w:val="00562630"/>
    <w:rsid w:val="00587814"/>
    <w:rsid w:val="005B5BF5"/>
    <w:rsid w:val="005C354B"/>
    <w:rsid w:val="00600839"/>
    <w:rsid w:val="0066501E"/>
    <w:rsid w:val="006B45F6"/>
    <w:rsid w:val="00745529"/>
    <w:rsid w:val="00770150"/>
    <w:rsid w:val="00771DA8"/>
    <w:rsid w:val="00782A2A"/>
    <w:rsid w:val="007B340D"/>
    <w:rsid w:val="007E2C2F"/>
    <w:rsid w:val="0082485F"/>
    <w:rsid w:val="00903948"/>
    <w:rsid w:val="00906B4B"/>
    <w:rsid w:val="00947761"/>
    <w:rsid w:val="009517B9"/>
    <w:rsid w:val="009B771F"/>
    <w:rsid w:val="009C7B4A"/>
    <w:rsid w:val="00A02C99"/>
    <w:rsid w:val="00A5129F"/>
    <w:rsid w:val="00A710F1"/>
    <w:rsid w:val="00A75659"/>
    <w:rsid w:val="00B37C63"/>
    <w:rsid w:val="00BA5467"/>
    <w:rsid w:val="00BB0DBB"/>
    <w:rsid w:val="00BC777F"/>
    <w:rsid w:val="00C95AB3"/>
    <w:rsid w:val="00C95CF4"/>
    <w:rsid w:val="00CF3D1D"/>
    <w:rsid w:val="00D513CA"/>
    <w:rsid w:val="00DA151E"/>
    <w:rsid w:val="00DC55AA"/>
    <w:rsid w:val="00DF017F"/>
    <w:rsid w:val="00E105C2"/>
    <w:rsid w:val="00E44C63"/>
    <w:rsid w:val="00E75CBA"/>
    <w:rsid w:val="00EA2601"/>
    <w:rsid w:val="00F06431"/>
    <w:rsid w:val="00FB7A72"/>
    <w:rsid w:val="00FD79B5"/>
    <w:rsid w:val="00FE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F01DE"/>
  <w15:chartTrackingRefBased/>
  <w15:docId w15:val="{26D5547D-DB96-4B0A-9DC1-6FA5A3139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2326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link w:val="NzovChar"/>
    <w:uiPriority w:val="99"/>
    <w:qFormat/>
    <w:rsid w:val="00023268"/>
    <w:pPr>
      <w:jc w:val="center"/>
    </w:pPr>
    <w:rPr>
      <w:b/>
      <w:bCs/>
      <w:sz w:val="24"/>
      <w:szCs w:val="24"/>
    </w:rPr>
  </w:style>
  <w:style w:type="character" w:customStyle="1" w:styleId="NzovChar">
    <w:name w:val="Názov Char"/>
    <w:basedOn w:val="Predvolenpsmoodseku"/>
    <w:link w:val="Nzov"/>
    <w:uiPriority w:val="99"/>
    <w:rsid w:val="00023268"/>
    <w:rPr>
      <w:rFonts w:ascii="Times New Roman" w:eastAsiaTheme="minorEastAsia" w:hAnsi="Times New Roman" w:cs="Times New Roman"/>
      <w:b/>
      <w:bCs/>
      <w:sz w:val="24"/>
      <w:szCs w:val="24"/>
      <w:lang w:eastAsia="sk-SK"/>
    </w:rPr>
  </w:style>
  <w:style w:type="paragraph" w:styleId="Normlnywebov">
    <w:name w:val="Normal (Web)"/>
    <w:basedOn w:val="Normlny"/>
    <w:uiPriority w:val="99"/>
    <w:unhideWhenUsed/>
    <w:rsid w:val="00023268"/>
    <w:pPr>
      <w:spacing w:before="100" w:beforeAutospacing="1" w:after="100" w:afterAutospacing="1"/>
    </w:pPr>
    <w:rPr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87814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87814"/>
    <w:rPr>
      <w:rFonts w:ascii="Segoe UI" w:eastAsiaTheme="minorEastAsia" w:hAnsi="Segoe UI" w:cs="Segoe UI"/>
      <w:sz w:val="18"/>
      <w:szCs w:val="18"/>
      <w:lang w:eastAsia="sk-SK"/>
    </w:rPr>
  </w:style>
  <w:style w:type="paragraph" w:styleId="Zkladntext">
    <w:name w:val="Body Text"/>
    <w:basedOn w:val="Normlny"/>
    <w:link w:val="ZkladntextChar"/>
    <w:uiPriority w:val="99"/>
    <w:unhideWhenUsed/>
    <w:rsid w:val="003652FA"/>
    <w:pPr>
      <w:jc w:val="both"/>
    </w:pPr>
    <w:rPr>
      <w:sz w:val="24"/>
      <w:szCs w:val="24"/>
    </w:rPr>
  </w:style>
  <w:style w:type="character" w:customStyle="1" w:styleId="ZkladntextChar">
    <w:name w:val="Základný text Char"/>
    <w:basedOn w:val="Predvolenpsmoodseku"/>
    <w:link w:val="Zkladntext"/>
    <w:uiPriority w:val="99"/>
    <w:rsid w:val="003652FA"/>
    <w:rPr>
      <w:rFonts w:ascii="Times New Roman" w:eastAsiaTheme="minorEastAsia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FC2C9-5661-416A-99B5-58FCD9A73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Šnirc Dalibor</cp:lastModifiedBy>
  <cp:revision>15</cp:revision>
  <dcterms:created xsi:type="dcterms:W3CDTF">2026-05-13T09:04:00Z</dcterms:created>
  <dcterms:modified xsi:type="dcterms:W3CDTF">2026-08-13T07:03:00Z</dcterms:modified>
</cp:coreProperties>
</file>